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4368E44" w:rsidR="00ED7F86" w:rsidRPr="00ED7F86" w:rsidRDefault="00ED7F86" w:rsidP="00ED7F86">
      <w:pPr>
        <w:rPr>
          <w:rFonts w:ascii="Arial" w:hAnsi="Arial"/>
          <w:sz w:val="16"/>
          <w:szCs w:val="16"/>
          <w:lang w:eastAsia="en-US"/>
        </w:rPr>
      </w:pPr>
    </w:p>
    <w:p w14:paraId="3C547F35" w14:textId="1BFCABEF" w:rsidR="00ED7F86" w:rsidRPr="00ED7F86" w:rsidRDefault="009E0B26"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B699524">
                <wp:simplePos x="0" y="0"/>
                <wp:positionH relativeFrom="column">
                  <wp:posOffset>1417320</wp:posOffset>
                </wp:positionH>
                <wp:positionV relativeFrom="paragraph">
                  <wp:posOffset>75565</wp:posOffset>
                </wp:positionV>
                <wp:extent cx="411480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CEF65" w14:textId="111C94F0" w:rsidR="009E0B26" w:rsidRPr="009E0B26" w:rsidRDefault="009E0B26" w:rsidP="009E0B26">
                            <w:pPr>
                              <w:jc w:val="center"/>
                              <w:rPr>
                                <w:rFonts w:ascii="Arial" w:hAnsi="Arial" w:cs="Arial"/>
                              </w:rPr>
                            </w:pPr>
                            <w:r w:rsidRPr="009E0B26">
                              <w:rPr>
                                <w:rFonts w:ascii="Arial" w:hAnsi="Arial" w:cs="Arial"/>
                              </w:rPr>
                              <w:t xml:space="preserve">Endocrine </w:t>
                            </w:r>
                            <w:r>
                              <w:rPr>
                                <w:rFonts w:ascii="Arial" w:hAnsi="Arial" w:cs="Arial"/>
                              </w:rPr>
                              <w:t>D</w:t>
                            </w:r>
                            <w:r w:rsidRPr="009E0B26">
                              <w:rPr>
                                <w:rFonts w:ascii="Arial" w:hAnsi="Arial" w:cs="Arial"/>
                              </w:rPr>
                              <w:t>epartment</w:t>
                            </w:r>
                          </w:p>
                          <w:p w14:paraId="7D88A318" w14:textId="49FB7DD9" w:rsidR="009E0B26" w:rsidRPr="009E0B26" w:rsidRDefault="009E0B26" w:rsidP="009E0B26">
                            <w:pPr>
                              <w:spacing w:before="120"/>
                              <w:jc w:val="center"/>
                              <w:rPr>
                                <w:rFonts w:ascii="Arial" w:hAnsi="Arial" w:cs="Arial"/>
                                <w:b/>
                                <w:color w:val="0070C0"/>
                                <w:sz w:val="28"/>
                                <w:szCs w:val="28"/>
                              </w:rPr>
                            </w:pPr>
                            <w:r w:rsidRPr="009E0B26">
                              <w:rPr>
                                <w:rFonts w:ascii="Arial" w:hAnsi="Arial" w:cs="Arial"/>
                                <w:b/>
                                <w:color w:val="0070C0"/>
                                <w:sz w:val="28"/>
                                <w:szCs w:val="28"/>
                              </w:rPr>
                              <w:t xml:space="preserve">X </w:t>
                            </w:r>
                            <w:r>
                              <w:rPr>
                                <w:rFonts w:ascii="Arial" w:hAnsi="Arial" w:cs="Arial"/>
                                <w:b/>
                                <w:color w:val="0070C0"/>
                                <w:sz w:val="28"/>
                                <w:szCs w:val="28"/>
                              </w:rPr>
                              <w:t>L</w:t>
                            </w:r>
                            <w:r w:rsidRPr="009E0B26">
                              <w:rPr>
                                <w:rFonts w:ascii="Arial" w:hAnsi="Arial" w:cs="Arial"/>
                                <w:b/>
                                <w:color w:val="0070C0"/>
                                <w:sz w:val="28"/>
                                <w:szCs w:val="28"/>
                              </w:rPr>
                              <w:t xml:space="preserve">inked </w:t>
                            </w:r>
                            <w:proofErr w:type="spellStart"/>
                            <w:r>
                              <w:rPr>
                                <w:rFonts w:ascii="Arial" w:hAnsi="Arial" w:cs="Arial"/>
                                <w:b/>
                                <w:color w:val="0070C0"/>
                                <w:sz w:val="28"/>
                                <w:szCs w:val="28"/>
                              </w:rPr>
                              <w:t>H</w:t>
                            </w:r>
                            <w:r w:rsidRPr="009E0B26">
                              <w:rPr>
                                <w:rFonts w:ascii="Arial" w:hAnsi="Arial" w:cs="Arial"/>
                                <w:b/>
                                <w:color w:val="0070C0"/>
                                <w:sz w:val="28"/>
                                <w:szCs w:val="28"/>
                              </w:rPr>
                              <w:t>ypophosphataemic</w:t>
                            </w:r>
                            <w:proofErr w:type="spellEnd"/>
                            <w:r w:rsidRPr="009E0B26">
                              <w:rPr>
                                <w:rFonts w:ascii="Arial" w:hAnsi="Arial" w:cs="Arial"/>
                                <w:b/>
                                <w:color w:val="0070C0"/>
                                <w:sz w:val="28"/>
                                <w:szCs w:val="28"/>
                              </w:rPr>
                              <w:t xml:space="preserve"> </w:t>
                            </w:r>
                            <w:r>
                              <w:rPr>
                                <w:rFonts w:ascii="Arial" w:hAnsi="Arial" w:cs="Arial"/>
                                <w:b/>
                                <w:color w:val="0070C0"/>
                                <w:sz w:val="28"/>
                                <w:szCs w:val="28"/>
                              </w:rPr>
                              <w:t>R</w:t>
                            </w:r>
                            <w:r w:rsidRPr="009E0B26">
                              <w:rPr>
                                <w:rFonts w:ascii="Arial" w:hAnsi="Arial" w:cs="Arial"/>
                                <w:b/>
                                <w:color w:val="0070C0"/>
                                <w:sz w:val="28"/>
                                <w:szCs w:val="28"/>
                              </w:rPr>
                              <w:t>ickets (XLH)</w:t>
                            </w:r>
                          </w:p>
                          <w:p w14:paraId="7DE5D2C4" w14:textId="12FC5E68" w:rsidR="009E0B26" w:rsidRPr="009E0B26" w:rsidRDefault="009E0B26" w:rsidP="009E0B26">
                            <w:pPr>
                              <w:spacing w:before="120" w:after="200"/>
                              <w:jc w:val="center"/>
                              <w:rPr>
                                <w:rFonts w:ascii="Arial" w:hAnsi="Arial" w:cs="Arial"/>
                              </w:rPr>
                            </w:pPr>
                            <w:r w:rsidRPr="009E0B26">
                              <w:rPr>
                                <w:rFonts w:ascii="Arial" w:hAnsi="Arial" w:cs="Arial"/>
                              </w:rPr>
                              <w:t>Information for patients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11.6pt;margin-top:5.95pt;width:324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" stroked="f">
                <v:textbox>
                  <w:txbxContent>
                    <w:p w14:paraId="174CEF65" w14:textId="111C94F0" w:rsidR="009E0B26" w:rsidRPr="009E0B26" w:rsidRDefault="009E0B26" w:rsidP="009E0B26">
                      <w:pPr>
                        <w:jc w:val="center"/>
                        <w:rPr>
                          <w:rFonts w:ascii="Arial" w:hAnsi="Arial" w:cs="Arial"/>
                        </w:rPr>
                      </w:pPr>
                      <w:r w:rsidRPr="009E0B26">
                        <w:rPr>
                          <w:rFonts w:ascii="Arial" w:hAnsi="Arial" w:cs="Arial"/>
                        </w:rPr>
                        <w:t xml:space="preserve">Endocrine </w:t>
                      </w:r>
                      <w:r>
                        <w:rPr>
                          <w:rFonts w:ascii="Arial" w:hAnsi="Arial" w:cs="Arial"/>
                        </w:rPr>
                        <w:t>D</w:t>
                      </w:r>
                      <w:r w:rsidRPr="009E0B26">
                        <w:rPr>
                          <w:rFonts w:ascii="Arial" w:hAnsi="Arial" w:cs="Arial"/>
                        </w:rPr>
                        <w:t>epartment</w:t>
                      </w:r>
                    </w:p>
                    <w:p w14:paraId="7D88A318" w14:textId="49FB7DD9" w:rsidR="009E0B26" w:rsidRPr="009E0B26" w:rsidRDefault="009E0B26" w:rsidP="009E0B26">
                      <w:pPr>
                        <w:spacing w:before="120"/>
                        <w:jc w:val="center"/>
                        <w:rPr>
                          <w:rFonts w:ascii="Arial" w:hAnsi="Arial" w:cs="Arial"/>
                          <w:b/>
                          <w:color w:val="0070C0"/>
                          <w:sz w:val="28"/>
                          <w:szCs w:val="28"/>
                        </w:rPr>
                      </w:pPr>
                      <w:r w:rsidRPr="009E0B26">
                        <w:rPr>
                          <w:rFonts w:ascii="Arial" w:hAnsi="Arial" w:cs="Arial"/>
                          <w:b/>
                          <w:color w:val="0070C0"/>
                          <w:sz w:val="28"/>
                          <w:szCs w:val="28"/>
                        </w:rPr>
                        <w:t xml:space="preserve">X </w:t>
                      </w:r>
                      <w:r>
                        <w:rPr>
                          <w:rFonts w:ascii="Arial" w:hAnsi="Arial" w:cs="Arial"/>
                          <w:b/>
                          <w:color w:val="0070C0"/>
                          <w:sz w:val="28"/>
                          <w:szCs w:val="28"/>
                        </w:rPr>
                        <w:t>L</w:t>
                      </w:r>
                      <w:r w:rsidRPr="009E0B26">
                        <w:rPr>
                          <w:rFonts w:ascii="Arial" w:hAnsi="Arial" w:cs="Arial"/>
                          <w:b/>
                          <w:color w:val="0070C0"/>
                          <w:sz w:val="28"/>
                          <w:szCs w:val="28"/>
                        </w:rPr>
                        <w:t xml:space="preserve">inked </w:t>
                      </w:r>
                      <w:proofErr w:type="spellStart"/>
                      <w:r>
                        <w:rPr>
                          <w:rFonts w:ascii="Arial" w:hAnsi="Arial" w:cs="Arial"/>
                          <w:b/>
                          <w:color w:val="0070C0"/>
                          <w:sz w:val="28"/>
                          <w:szCs w:val="28"/>
                        </w:rPr>
                        <w:t>H</w:t>
                      </w:r>
                      <w:r w:rsidRPr="009E0B26">
                        <w:rPr>
                          <w:rFonts w:ascii="Arial" w:hAnsi="Arial" w:cs="Arial"/>
                          <w:b/>
                          <w:color w:val="0070C0"/>
                          <w:sz w:val="28"/>
                          <w:szCs w:val="28"/>
                        </w:rPr>
                        <w:t>ypophosphataemic</w:t>
                      </w:r>
                      <w:proofErr w:type="spellEnd"/>
                      <w:r w:rsidRPr="009E0B26">
                        <w:rPr>
                          <w:rFonts w:ascii="Arial" w:hAnsi="Arial" w:cs="Arial"/>
                          <w:b/>
                          <w:color w:val="0070C0"/>
                          <w:sz w:val="28"/>
                          <w:szCs w:val="28"/>
                        </w:rPr>
                        <w:t xml:space="preserve"> </w:t>
                      </w:r>
                      <w:r>
                        <w:rPr>
                          <w:rFonts w:ascii="Arial" w:hAnsi="Arial" w:cs="Arial"/>
                          <w:b/>
                          <w:color w:val="0070C0"/>
                          <w:sz w:val="28"/>
                          <w:szCs w:val="28"/>
                        </w:rPr>
                        <w:t>R</w:t>
                      </w:r>
                      <w:r w:rsidRPr="009E0B26">
                        <w:rPr>
                          <w:rFonts w:ascii="Arial" w:hAnsi="Arial" w:cs="Arial"/>
                          <w:b/>
                          <w:color w:val="0070C0"/>
                          <w:sz w:val="28"/>
                          <w:szCs w:val="28"/>
                        </w:rPr>
                        <w:t>ickets (XLH)</w:t>
                      </w:r>
                    </w:p>
                    <w:p w14:paraId="7DE5D2C4" w14:textId="12FC5E68" w:rsidR="009E0B26" w:rsidRPr="009E0B26" w:rsidRDefault="009E0B26" w:rsidP="009E0B26">
                      <w:pPr>
                        <w:spacing w:before="120" w:after="200"/>
                        <w:jc w:val="center"/>
                        <w:rPr>
                          <w:rFonts w:ascii="Arial" w:hAnsi="Arial" w:cs="Arial"/>
                        </w:rPr>
                      </w:pPr>
                      <w:r w:rsidRPr="009E0B26">
                        <w:rPr>
                          <w:rFonts w:ascii="Arial" w:hAnsi="Arial" w:cs="Arial"/>
                        </w:rPr>
                        <w:t>Information for patients and carers.</w:t>
                      </w:r>
                    </w:p>
                  </w:txbxContent>
                </v:textbox>
              </v:shape>
            </w:pict>
          </mc:Fallback>
        </mc:AlternateContent>
      </w:r>
      <w:r w:rsidR="00ED7F86" w:rsidRPr="00ED7F86">
        <w:rPr>
          <w:rFonts w:ascii="Arial" w:hAnsi="Arial"/>
          <w:szCs w:val="20"/>
          <w:lang w:eastAsia="en-US"/>
        </w:rPr>
        <w:t xml:space="preserve">       </w:t>
      </w:r>
    </w:p>
    <w:p w14:paraId="3C547F36" w14:textId="0FAF1A8E"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64AAA496" w14:textId="108A6B98" w:rsidR="009E0B26" w:rsidRPr="009E0B26" w:rsidRDefault="009E0B26" w:rsidP="009E0B26">
      <w:pPr>
        <w:spacing w:before="200" w:after="200"/>
        <w:rPr>
          <w:rFonts w:ascii="Arial" w:hAnsi="Arial" w:cs="Arial"/>
          <w:b/>
          <w:color w:val="0070C0"/>
        </w:rPr>
      </w:pPr>
      <w:r w:rsidRPr="009E0B26">
        <w:rPr>
          <w:rFonts w:ascii="Arial" w:hAnsi="Arial" w:cs="Arial"/>
          <w:b/>
          <w:color w:val="0070C0"/>
        </w:rPr>
        <w:t>Introduction</w:t>
      </w:r>
    </w:p>
    <w:p w14:paraId="0178F599" w14:textId="77777777" w:rsidR="009E0B26" w:rsidRPr="009E0B26" w:rsidRDefault="009E0B26" w:rsidP="009E0B26">
      <w:pPr>
        <w:spacing w:before="200" w:after="200"/>
        <w:rPr>
          <w:rFonts w:ascii="Arial" w:hAnsi="Arial" w:cs="Arial"/>
        </w:rPr>
      </w:pPr>
      <w:r w:rsidRPr="009E0B26">
        <w:rPr>
          <w:rFonts w:ascii="Arial" w:hAnsi="Arial" w:cs="Arial"/>
        </w:rPr>
        <w:t xml:space="preserve">X linked </w:t>
      </w:r>
      <w:proofErr w:type="spellStart"/>
      <w:r w:rsidRPr="009E0B26">
        <w:rPr>
          <w:rFonts w:ascii="Arial" w:hAnsi="Arial" w:cs="Arial"/>
        </w:rPr>
        <w:t>hypophosphataemic</w:t>
      </w:r>
      <w:proofErr w:type="spellEnd"/>
      <w:r w:rsidRPr="009E0B26">
        <w:rPr>
          <w:rFonts w:ascii="Arial" w:hAnsi="Arial" w:cs="Arial"/>
        </w:rPr>
        <w:t xml:space="preserve"> rickets (XLH) is an inherited lifelong disorder characterised by low levels of phosphate in the blood (</w:t>
      </w:r>
      <w:proofErr w:type="spellStart"/>
      <w:r w:rsidRPr="009E0B26">
        <w:rPr>
          <w:rFonts w:ascii="Arial" w:hAnsi="Arial" w:cs="Arial"/>
        </w:rPr>
        <w:t>hypophosphataemia</w:t>
      </w:r>
      <w:proofErr w:type="spellEnd"/>
      <w:r w:rsidRPr="009E0B26">
        <w:rPr>
          <w:rFonts w:ascii="Arial" w:hAnsi="Arial" w:cs="Arial"/>
        </w:rPr>
        <w:t>). Phosphate is a mineral that is essential for the normal formation of bones and teeth in childhood and helps maintain bone strength in adults.</w:t>
      </w:r>
    </w:p>
    <w:p w14:paraId="18729FAA" w14:textId="77777777" w:rsidR="009E0B26" w:rsidRPr="009E0B26" w:rsidRDefault="009E0B26" w:rsidP="009E0B26">
      <w:pPr>
        <w:spacing w:before="200" w:after="200"/>
        <w:rPr>
          <w:rFonts w:ascii="Arial" w:hAnsi="Arial" w:cs="Arial"/>
          <w:b/>
          <w:color w:val="0070C0"/>
        </w:rPr>
      </w:pPr>
      <w:r w:rsidRPr="009E0B26">
        <w:rPr>
          <w:rFonts w:ascii="Arial" w:hAnsi="Arial" w:cs="Arial"/>
          <w:b/>
          <w:color w:val="0070C0"/>
        </w:rPr>
        <w:t>What causes XLH?</w:t>
      </w:r>
    </w:p>
    <w:p w14:paraId="0063EF44" w14:textId="77777777" w:rsidR="009E0B26" w:rsidRPr="009E0B26" w:rsidRDefault="009E0B26" w:rsidP="009E0B26">
      <w:pPr>
        <w:spacing w:before="200" w:after="200"/>
        <w:rPr>
          <w:rFonts w:ascii="Arial" w:hAnsi="Arial" w:cs="Arial"/>
        </w:rPr>
      </w:pPr>
      <w:r w:rsidRPr="009E0B26">
        <w:rPr>
          <w:rFonts w:ascii="Arial" w:hAnsi="Arial" w:cs="Arial"/>
        </w:rPr>
        <w:t xml:space="preserve">XLH is caused by mutations in the phosphate regulating gene PHEX which is located on the X chromosome. Inheritance is X-linked dominant. This is the commonest type of </w:t>
      </w:r>
      <w:proofErr w:type="spellStart"/>
      <w:r w:rsidRPr="009E0B26">
        <w:rPr>
          <w:rFonts w:ascii="Arial" w:hAnsi="Arial" w:cs="Arial"/>
        </w:rPr>
        <w:t>hypophosphataemic</w:t>
      </w:r>
      <w:proofErr w:type="spellEnd"/>
      <w:r w:rsidRPr="009E0B26">
        <w:rPr>
          <w:rFonts w:ascii="Arial" w:hAnsi="Arial" w:cs="Arial"/>
        </w:rPr>
        <w:t xml:space="preserve"> rickets. The condition often runs in families through several generations, but in other families a newly diagnosed child may be the first and only affected person.</w:t>
      </w:r>
    </w:p>
    <w:p w14:paraId="14DEACA8" w14:textId="77C26EA0" w:rsidR="009E0B26" w:rsidRPr="009E0B26" w:rsidRDefault="009E0B26" w:rsidP="009E0B26">
      <w:pPr>
        <w:spacing w:before="200" w:after="200"/>
        <w:rPr>
          <w:rFonts w:ascii="Arial" w:hAnsi="Arial" w:cs="Arial"/>
        </w:rPr>
      </w:pPr>
      <w:r w:rsidRPr="00FE16D8">
        <w:rPr>
          <w:rFonts w:ascii="Arial" w:hAnsi="Arial" w:cs="Arial"/>
          <w:b/>
          <w:noProof/>
          <w:szCs w:val="20"/>
        </w:rPr>
        <w:drawing>
          <wp:anchor distT="0" distB="0" distL="114300" distR="114300" simplePos="0" relativeHeight="251660287" behindDoc="1" locked="0" layoutInCell="1" allowOverlap="1" wp14:anchorId="0886D683" wp14:editId="791AF3EC">
            <wp:simplePos x="0" y="0"/>
            <wp:positionH relativeFrom="column">
              <wp:posOffset>5528945</wp:posOffset>
            </wp:positionH>
            <wp:positionV relativeFrom="paragraph">
              <wp:posOffset>458470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E0B26">
        <w:rPr>
          <w:rFonts w:ascii="Arial" w:hAnsi="Arial" w:cs="Arial"/>
        </w:rPr>
        <w:t>PHEX regulates fibroblast growth factor 23 (FGF23), a protein produced in bone cells, which is necessary for regulating the phosphate levels within the body. In XLH levels of FGF23 are increased leading to low levels of phosphate in the body.</w:t>
      </w:r>
    </w:p>
    <w:p w14:paraId="3D92538E" w14:textId="77777777" w:rsidR="009E0B26" w:rsidRPr="009E0B26" w:rsidRDefault="009E0B26" w:rsidP="009E0B26">
      <w:pPr>
        <w:spacing w:before="200" w:after="200"/>
        <w:rPr>
          <w:rFonts w:ascii="Arial" w:hAnsi="Arial" w:cs="Arial"/>
        </w:rPr>
      </w:pPr>
      <w:r w:rsidRPr="009E0B26">
        <w:rPr>
          <w:rFonts w:ascii="Arial" w:hAnsi="Arial" w:cs="Arial"/>
        </w:rPr>
        <w:t>The body’s phosphate levels are determined by the balance between:</w:t>
      </w:r>
    </w:p>
    <w:p w14:paraId="319C46B9" w14:textId="77777777" w:rsidR="009E0B26" w:rsidRPr="009E0B26" w:rsidRDefault="009E0B26" w:rsidP="009E0B26">
      <w:pPr>
        <w:pStyle w:val="ListParagraph"/>
        <w:numPr>
          <w:ilvl w:val="0"/>
          <w:numId w:val="1"/>
        </w:numPr>
        <w:spacing w:before="200" w:line="240" w:lineRule="auto"/>
        <w:rPr>
          <w:rFonts w:ascii="Arial" w:hAnsi="Arial" w:cs="Arial"/>
          <w:sz w:val="24"/>
          <w:szCs w:val="24"/>
        </w:rPr>
      </w:pPr>
      <w:r w:rsidRPr="009E0B26">
        <w:rPr>
          <w:rFonts w:ascii="Arial" w:hAnsi="Arial" w:cs="Arial"/>
          <w:sz w:val="24"/>
          <w:szCs w:val="24"/>
        </w:rPr>
        <w:t>How much phosphate is taken in from food</w:t>
      </w:r>
    </w:p>
    <w:p w14:paraId="5351EA31" w14:textId="77777777" w:rsidR="009E0B26" w:rsidRPr="009E0B26" w:rsidRDefault="009E0B26" w:rsidP="009E0B26">
      <w:pPr>
        <w:pStyle w:val="ListParagraph"/>
        <w:numPr>
          <w:ilvl w:val="0"/>
          <w:numId w:val="1"/>
        </w:numPr>
        <w:spacing w:before="200" w:line="240" w:lineRule="auto"/>
        <w:rPr>
          <w:rFonts w:ascii="Arial" w:hAnsi="Arial" w:cs="Arial"/>
          <w:sz w:val="24"/>
          <w:szCs w:val="24"/>
        </w:rPr>
      </w:pPr>
      <w:r w:rsidRPr="009E0B26">
        <w:rPr>
          <w:rFonts w:ascii="Arial" w:hAnsi="Arial" w:cs="Arial"/>
          <w:sz w:val="24"/>
          <w:szCs w:val="24"/>
        </w:rPr>
        <w:t>How much is stored in the skeleton</w:t>
      </w:r>
    </w:p>
    <w:p w14:paraId="0892427B" w14:textId="77777777" w:rsidR="009E0B26" w:rsidRPr="009E0B26" w:rsidRDefault="009E0B26" w:rsidP="009E0B26">
      <w:pPr>
        <w:pStyle w:val="ListParagraph"/>
        <w:numPr>
          <w:ilvl w:val="0"/>
          <w:numId w:val="1"/>
        </w:numPr>
        <w:spacing w:before="200" w:line="240" w:lineRule="auto"/>
        <w:rPr>
          <w:rFonts w:ascii="Arial" w:hAnsi="Arial" w:cs="Arial"/>
          <w:sz w:val="24"/>
          <w:szCs w:val="24"/>
        </w:rPr>
      </w:pPr>
      <w:r w:rsidRPr="009E0B26">
        <w:rPr>
          <w:rFonts w:ascii="Arial" w:hAnsi="Arial" w:cs="Arial"/>
          <w:sz w:val="24"/>
          <w:szCs w:val="24"/>
        </w:rPr>
        <w:t>How much is passed out (excreted) in the urine.</w:t>
      </w:r>
    </w:p>
    <w:p w14:paraId="6E0D12A4" w14:textId="77777777" w:rsidR="009E0B26" w:rsidRPr="009E0B26" w:rsidRDefault="009E0B26" w:rsidP="009E0B26">
      <w:pPr>
        <w:spacing w:before="200" w:after="200"/>
        <w:rPr>
          <w:rFonts w:ascii="Arial" w:hAnsi="Arial" w:cs="Arial"/>
        </w:rPr>
      </w:pPr>
      <w:r w:rsidRPr="009E0B26">
        <w:rPr>
          <w:rFonts w:ascii="Arial" w:hAnsi="Arial" w:cs="Arial"/>
        </w:rPr>
        <w:t xml:space="preserve">Along with FGF23, a bone hormone called parathyroid hormone (PTH) plays an important role in controlling how much phosphate the kidneys excrete. </w:t>
      </w:r>
    </w:p>
    <w:p w14:paraId="069112FF" w14:textId="77777777" w:rsidR="009E0B26" w:rsidRPr="009E0B26" w:rsidRDefault="009E0B26" w:rsidP="009E0B26">
      <w:pPr>
        <w:spacing w:before="200" w:after="200"/>
        <w:rPr>
          <w:rFonts w:ascii="Arial" w:hAnsi="Arial" w:cs="Arial"/>
          <w:b/>
        </w:rPr>
      </w:pPr>
      <w:r w:rsidRPr="009E0B26">
        <w:rPr>
          <w:rFonts w:ascii="Arial" w:hAnsi="Arial" w:cs="Arial"/>
          <w:b/>
        </w:rPr>
        <w:t>Signs and symptoms</w:t>
      </w:r>
    </w:p>
    <w:p w14:paraId="06926608" w14:textId="77777777" w:rsidR="009E0B26" w:rsidRPr="009E0B26" w:rsidRDefault="009E0B26" w:rsidP="009E0B26">
      <w:pPr>
        <w:spacing w:before="200" w:after="200"/>
        <w:rPr>
          <w:rFonts w:ascii="Arial" w:hAnsi="Arial" w:cs="Arial"/>
        </w:rPr>
      </w:pPr>
      <w:r w:rsidRPr="009E0B26">
        <w:rPr>
          <w:rFonts w:ascii="Arial" w:hAnsi="Arial" w:cs="Arial"/>
        </w:rPr>
        <w:t>In most cases, the signs and symptoms of XLH begin in early childhood. The features of this disorder vary widely, even among affected members of the same family. Many children experience slow growth and are shorter than their peers. They develop bone abnormalities that can interfere with movement and cause bone pain.</w:t>
      </w:r>
    </w:p>
    <w:p w14:paraId="3960E685" w14:textId="77777777" w:rsidR="009E0B26" w:rsidRPr="009E0B26" w:rsidRDefault="009E0B26" w:rsidP="009E0B26">
      <w:pPr>
        <w:spacing w:before="200" w:after="200"/>
        <w:rPr>
          <w:rFonts w:ascii="Arial" w:hAnsi="Arial" w:cs="Arial"/>
        </w:rPr>
      </w:pPr>
      <w:r w:rsidRPr="009E0B26">
        <w:rPr>
          <w:rFonts w:ascii="Arial" w:hAnsi="Arial" w:cs="Arial"/>
        </w:rPr>
        <w:t xml:space="preserve">The most noticeable of these abnormalities are bowed legs and knocked knees (a condition in which the lower legs are positioned at an outward angle). These abnormalities can become apparent with weight bearing activities such as walking. If untreated, they tend to worsen with time and a number of children will require the input of orthopaedic surgeons. </w:t>
      </w:r>
    </w:p>
    <w:p w14:paraId="55785D33" w14:textId="77777777" w:rsidR="009E0B26" w:rsidRPr="009E0B26" w:rsidRDefault="009E0B26" w:rsidP="009E0B26">
      <w:pPr>
        <w:spacing w:before="200" w:after="200"/>
        <w:rPr>
          <w:rFonts w:ascii="Arial" w:hAnsi="Arial" w:cs="Arial"/>
        </w:rPr>
      </w:pPr>
      <w:r w:rsidRPr="009E0B26">
        <w:rPr>
          <w:rFonts w:ascii="Arial" w:hAnsi="Arial" w:cs="Arial"/>
        </w:rPr>
        <w:t>Fractures tend not to occur but mobility can become limited because of discomfort, deformity or both. Having said all this, if the condition is detected early and compliance with treatment is good, it is possible to have reasonably good growth and little in the way of bony deformities.</w:t>
      </w:r>
    </w:p>
    <w:p w14:paraId="059C420D" w14:textId="77777777" w:rsidR="009E0B26" w:rsidRPr="009E0B26" w:rsidRDefault="009E0B26" w:rsidP="009E0B26">
      <w:pPr>
        <w:spacing w:before="200" w:after="200"/>
        <w:rPr>
          <w:rFonts w:ascii="Arial" w:hAnsi="Arial" w:cs="Arial"/>
          <w:b/>
          <w:color w:val="0070C0"/>
        </w:rPr>
      </w:pPr>
      <w:r w:rsidRPr="009E0B26">
        <w:rPr>
          <w:rFonts w:ascii="Arial" w:hAnsi="Arial" w:cs="Arial"/>
          <w:b/>
          <w:color w:val="0070C0"/>
        </w:rPr>
        <w:t>How is XLH treated?</w:t>
      </w:r>
    </w:p>
    <w:p w14:paraId="569E9C00" w14:textId="77777777" w:rsidR="009E0B26" w:rsidRPr="009E0B26" w:rsidRDefault="009E0B26" w:rsidP="009E0B26">
      <w:pPr>
        <w:spacing w:before="200" w:after="200"/>
        <w:rPr>
          <w:rFonts w:ascii="Arial" w:hAnsi="Arial" w:cs="Arial"/>
        </w:rPr>
      </w:pPr>
      <w:r w:rsidRPr="009E0B26">
        <w:rPr>
          <w:rFonts w:ascii="Arial" w:hAnsi="Arial" w:cs="Arial"/>
        </w:rPr>
        <w:t xml:space="preserve">Historically patients with XLH were treated with medicines called phosphate and </w:t>
      </w:r>
      <w:proofErr w:type="spellStart"/>
      <w:r w:rsidRPr="009E0B26">
        <w:rPr>
          <w:rFonts w:ascii="Arial" w:hAnsi="Arial" w:cs="Arial"/>
        </w:rPr>
        <w:t>alfacalcidol</w:t>
      </w:r>
      <w:proofErr w:type="spellEnd"/>
      <w:r w:rsidRPr="009E0B26">
        <w:rPr>
          <w:rFonts w:ascii="Arial" w:hAnsi="Arial" w:cs="Arial"/>
        </w:rPr>
        <w:t xml:space="preserve"> (a vitamin D preparation) which are taken orally on a daily basis.</w:t>
      </w:r>
    </w:p>
    <w:p w14:paraId="1DD39D72" w14:textId="77777777" w:rsidR="009E0B26" w:rsidRPr="009E0B26" w:rsidRDefault="009E0B26" w:rsidP="009E0B26">
      <w:pPr>
        <w:spacing w:before="200" w:after="200"/>
        <w:rPr>
          <w:rFonts w:ascii="Arial" w:hAnsi="Arial" w:cs="Arial"/>
        </w:rPr>
      </w:pPr>
      <w:r w:rsidRPr="009E0B26">
        <w:rPr>
          <w:rFonts w:ascii="Arial" w:hAnsi="Arial" w:cs="Arial"/>
        </w:rPr>
        <w:lastRenderedPageBreak/>
        <w:t>A new treatment has now become available for children from the age of 1 year and adolescents who are still growing who have been diagnosed with XLH.</w:t>
      </w:r>
    </w:p>
    <w:p w14:paraId="5A4BD20A" w14:textId="77777777" w:rsidR="009E0B26" w:rsidRPr="009E0B26" w:rsidRDefault="009E0B26" w:rsidP="009E0B26">
      <w:pPr>
        <w:spacing w:before="200" w:after="200"/>
        <w:rPr>
          <w:rFonts w:ascii="Arial" w:hAnsi="Arial" w:cs="Arial"/>
        </w:rPr>
      </w:pPr>
      <w:r w:rsidRPr="009E0B26">
        <w:rPr>
          <w:rFonts w:ascii="Arial" w:hAnsi="Arial" w:cs="Arial"/>
        </w:rPr>
        <w:t>The new treatment is called CRYSVITA (</w:t>
      </w:r>
      <w:proofErr w:type="spellStart"/>
      <w:r w:rsidRPr="009E0B26">
        <w:rPr>
          <w:rFonts w:ascii="Arial" w:hAnsi="Arial" w:cs="Arial"/>
        </w:rPr>
        <w:t>burosumab</w:t>
      </w:r>
      <w:proofErr w:type="spellEnd"/>
      <w:r w:rsidRPr="009E0B26">
        <w:rPr>
          <w:rFonts w:ascii="Arial" w:hAnsi="Arial" w:cs="Arial"/>
        </w:rPr>
        <w:t>). It is a human monoclonal antibody which means it is made from human proteins.</w:t>
      </w:r>
    </w:p>
    <w:p w14:paraId="29C5A93E" w14:textId="537BD949" w:rsidR="009E0B26" w:rsidRPr="009E0B26" w:rsidRDefault="009E0B26" w:rsidP="009E0B26">
      <w:pPr>
        <w:spacing w:before="200" w:after="200"/>
        <w:rPr>
          <w:rFonts w:ascii="Arial" w:hAnsi="Arial" w:cs="Arial"/>
          <w:color w:val="0070C0"/>
        </w:rPr>
      </w:pPr>
      <w:r w:rsidRPr="009E0B26">
        <w:rPr>
          <w:rFonts w:ascii="Arial" w:hAnsi="Arial" w:cs="Arial"/>
          <w:b/>
          <w:color w:val="0070C0"/>
        </w:rPr>
        <w:t xml:space="preserve">How </w:t>
      </w:r>
      <w:proofErr w:type="spellStart"/>
      <w:r w:rsidRPr="009E0B26">
        <w:rPr>
          <w:rFonts w:ascii="Arial" w:hAnsi="Arial" w:cs="Arial"/>
          <w:b/>
          <w:color w:val="0070C0"/>
        </w:rPr>
        <w:t>burosumab</w:t>
      </w:r>
      <w:proofErr w:type="spellEnd"/>
      <w:r w:rsidRPr="009E0B26">
        <w:rPr>
          <w:rFonts w:ascii="Arial" w:hAnsi="Arial" w:cs="Arial"/>
          <w:b/>
          <w:color w:val="0070C0"/>
        </w:rPr>
        <w:t xml:space="preserve"> works </w:t>
      </w:r>
    </w:p>
    <w:p w14:paraId="1EFA80AC" w14:textId="77777777" w:rsidR="009E0B26" w:rsidRPr="009E0B26" w:rsidRDefault="009E0B26" w:rsidP="009E0B26">
      <w:pPr>
        <w:spacing w:before="200" w:after="200"/>
        <w:rPr>
          <w:rFonts w:ascii="Arial" w:hAnsi="Arial" w:cs="Arial"/>
        </w:rPr>
      </w:pPr>
      <w:proofErr w:type="spellStart"/>
      <w:r w:rsidRPr="009E0B26">
        <w:rPr>
          <w:rFonts w:ascii="Arial" w:hAnsi="Arial" w:cs="Arial"/>
        </w:rPr>
        <w:t>Burosumab</w:t>
      </w:r>
      <w:proofErr w:type="spellEnd"/>
      <w:r w:rsidRPr="009E0B26">
        <w:rPr>
          <w:rFonts w:ascii="Arial" w:hAnsi="Arial" w:cs="Arial"/>
        </w:rPr>
        <w:t xml:space="preserve"> attaches to the FGF23 protein in the blood, which stops the FGF23 from working. This keeps more phosphate in the blood so that normal levels of phosphate can be maintained.</w:t>
      </w:r>
    </w:p>
    <w:p w14:paraId="0B271576" w14:textId="514BA009" w:rsidR="009E0B26" w:rsidRPr="009E0B26" w:rsidRDefault="009E0B26" w:rsidP="009E0B26">
      <w:pPr>
        <w:spacing w:before="200" w:after="200"/>
        <w:rPr>
          <w:rFonts w:ascii="Arial" w:hAnsi="Arial" w:cs="Arial"/>
          <w:color w:val="0070C0"/>
        </w:rPr>
      </w:pPr>
      <w:r w:rsidRPr="009E0B26">
        <w:rPr>
          <w:rFonts w:ascii="Arial" w:hAnsi="Arial" w:cs="Arial"/>
          <w:b/>
          <w:color w:val="0070C0"/>
        </w:rPr>
        <w:t xml:space="preserve">How </w:t>
      </w:r>
      <w:proofErr w:type="spellStart"/>
      <w:proofErr w:type="gramStart"/>
      <w:r w:rsidRPr="009E0B26">
        <w:rPr>
          <w:rFonts w:ascii="Arial" w:hAnsi="Arial" w:cs="Arial"/>
          <w:b/>
          <w:color w:val="0070C0"/>
        </w:rPr>
        <w:t>burosumab</w:t>
      </w:r>
      <w:proofErr w:type="spellEnd"/>
      <w:r w:rsidRPr="009E0B26">
        <w:rPr>
          <w:rFonts w:ascii="Arial" w:hAnsi="Arial" w:cs="Arial"/>
          <w:b/>
          <w:color w:val="0070C0"/>
        </w:rPr>
        <w:t xml:space="preserve">  is</w:t>
      </w:r>
      <w:proofErr w:type="gramEnd"/>
      <w:r w:rsidRPr="009E0B26">
        <w:rPr>
          <w:rFonts w:ascii="Arial" w:hAnsi="Arial" w:cs="Arial"/>
          <w:b/>
          <w:color w:val="0070C0"/>
        </w:rPr>
        <w:t xml:space="preserve"> given</w:t>
      </w:r>
      <w:r w:rsidRPr="009E0B26">
        <w:rPr>
          <w:rFonts w:ascii="Arial" w:hAnsi="Arial" w:cs="Arial"/>
          <w:color w:val="0070C0"/>
        </w:rPr>
        <w:t xml:space="preserve"> </w:t>
      </w:r>
    </w:p>
    <w:p w14:paraId="756F1493" w14:textId="37E0767B" w:rsidR="009E0B26" w:rsidRPr="009E0B26" w:rsidRDefault="009E0B26" w:rsidP="009E0B26">
      <w:pPr>
        <w:spacing w:before="200" w:after="200"/>
        <w:rPr>
          <w:rFonts w:ascii="Arial" w:hAnsi="Arial" w:cs="Arial"/>
        </w:rPr>
      </w:pPr>
      <w:proofErr w:type="spellStart"/>
      <w:r w:rsidRPr="009E0B26">
        <w:rPr>
          <w:rFonts w:ascii="Arial" w:hAnsi="Arial" w:cs="Arial"/>
        </w:rPr>
        <w:t>Burosumab</w:t>
      </w:r>
      <w:proofErr w:type="spellEnd"/>
      <w:r w:rsidRPr="009E0B26">
        <w:rPr>
          <w:rFonts w:ascii="Arial" w:hAnsi="Arial" w:cs="Arial"/>
        </w:rPr>
        <w:t xml:space="preserve"> is given as a subcutaneous injection</w:t>
      </w:r>
      <w:r w:rsidR="001D26EB">
        <w:rPr>
          <w:rFonts w:ascii="Arial" w:hAnsi="Arial" w:cs="Arial"/>
        </w:rPr>
        <w:t xml:space="preserve"> </w:t>
      </w:r>
      <w:r w:rsidRPr="009E0B26">
        <w:rPr>
          <w:rFonts w:ascii="Arial" w:hAnsi="Arial" w:cs="Arial"/>
        </w:rPr>
        <w:t xml:space="preserve">(S/C) on a fortnightly basis. </w:t>
      </w:r>
    </w:p>
    <w:p w14:paraId="41753AE5" w14:textId="77777777" w:rsidR="009E0B26" w:rsidRPr="009E0B26" w:rsidRDefault="009E0B26" w:rsidP="009E0B26">
      <w:pPr>
        <w:spacing w:before="200" w:after="200"/>
        <w:rPr>
          <w:rFonts w:ascii="Arial" w:hAnsi="Arial" w:cs="Arial"/>
        </w:rPr>
      </w:pPr>
      <w:r w:rsidRPr="009E0B26">
        <w:rPr>
          <w:rFonts w:ascii="Arial" w:hAnsi="Arial" w:cs="Arial"/>
        </w:rPr>
        <w:t>Initially the injection will be given at the hospital by the Endocrine nurse with a plan to than arrange a homecare nurse to administer the injection at home every fortnight.</w:t>
      </w:r>
    </w:p>
    <w:p w14:paraId="496147D2" w14:textId="3EAA8E24" w:rsidR="009E0B26" w:rsidRPr="009E0B26" w:rsidRDefault="009E0B26" w:rsidP="009E0B26">
      <w:pPr>
        <w:spacing w:before="200" w:after="200"/>
        <w:rPr>
          <w:rFonts w:ascii="Arial" w:hAnsi="Arial" w:cs="Arial"/>
        </w:rPr>
      </w:pPr>
      <w:r w:rsidRPr="00FE16D8">
        <w:rPr>
          <w:rFonts w:ascii="Arial" w:hAnsi="Arial" w:cs="Arial"/>
          <w:b/>
          <w:noProof/>
          <w:szCs w:val="20"/>
        </w:rPr>
        <w:drawing>
          <wp:anchor distT="0" distB="0" distL="114300" distR="114300" simplePos="0" relativeHeight="251676672" behindDoc="0" locked="0" layoutInCell="1" allowOverlap="1" wp14:anchorId="18A53D01" wp14:editId="28BB6A44">
            <wp:simplePos x="0" y="0"/>
            <wp:positionH relativeFrom="column">
              <wp:posOffset>5347389</wp:posOffset>
            </wp:positionH>
            <wp:positionV relativeFrom="paragraph">
              <wp:posOffset>186708</wp:posOffset>
            </wp:positionV>
            <wp:extent cx="1377683" cy="8008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683" cy="800898"/>
                    </a:xfrm>
                    <a:prstGeom prst="rect">
                      <a:avLst/>
                    </a:prstGeom>
                  </pic:spPr>
                </pic:pic>
              </a:graphicData>
            </a:graphic>
            <wp14:sizeRelH relativeFrom="page">
              <wp14:pctWidth>0</wp14:pctWidth>
            </wp14:sizeRelH>
            <wp14:sizeRelV relativeFrom="page">
              <wp14:pctHeight>0</wp14:pctHeight>
            </wp14:sizeRelV>
          </wp:anchor>
        </w:drawing>
      </w:r>
      <w:r w:rsidRPr="009E0B26">
        <w:rPr>
          <w:rFonts w:ascii="Arial" w:hAnsi="Arial" w:cs="Arial"/>
        </w:rPr>
        <w:t xml:space="preserve">Regular bloods tests will be required throughout treatment with </w:t>
      </w:r>
      <w:proofErr w:type="spellStart"/>
      <w:r w:rsidRPr="009E0B26">
        <w:rPr>
          <w:rFonts w:ascii="Arial" w:hAnsi="Arial" w:cs="Arial"/>
        </w:rPr>
        <w:t>burosumab</w:t>
      </w:r>
      <w:proofErr w:type="spellEnd"/>
      <w:r w:rsidRPr="009E0B26">
        <w:rPr>
          <w:rFonts w:ascii="Arial" w:hAnsi="Arial" w:cs="Arial"/>
        </w:rPr>
        <w:t xml:space="preserve"> to monitor its effect. The frequency of the blood test will be discussed at the start of the treatment.</w:t>
      </w:r>
    </w:p>
    <w:p w14:paraId="340D1AF5" w14:textId="77777777" w:rsidR="009E0B26" w:rsidRPr="009E0B26" w:rsidRDefault="009E0B26" w:rsidP="009E0B26">
      <w:pPr>
        <w:spacing w:before="200" w:after="200"/>
        <w:rPr>
          <w:rFonts w:ascii="Arial" w:hAnsi="Arial" w:cs="Arial"/>
          <w:b/>
          <w:color w:val="0070C0"/>
        </w:rPr>
      </w:pPr>
      <w:r w:rsidRPr="009E0B26">
        <w:rPr>
          <w:rFonts w:ascii="Arial" w:hAnsi="Arial" w:cs="Arial"/>
          <w:b/>
          <w:color w:val="0070C0"/>
        </w:rPr>
        <w:t>The clinical management of XLH also involves:</w:t>
      </w:r>
    </w:p>
    <w:p w14:paraId="75CFF068" w14:textId="4D06F823" w:rsidR="009E0B26" w:rsidRDefault="009E0B26" w:rsidP="001D26EB">
      <w:pPr>
        <w:pStyle w:val="ListParagraph"/>
        <w:numPr>
          <w:ilvl w:val="0"/>
          <w:numId w:val="1"/>
        </w:numPr>
        <w:spacing w:before="200"/>
        <w:ind w:left="341" w:hanging="284"/>
        <w:rPr>
          <w:rFonts w:ascii="Arial" w:hAnsi="Arial" w:cs="Arial"/>
        </w:rPr>
      </w:pPr>
      <w:r w:rsidRPr="001D26EB">
        <w:rPr>
          <w:rFonts w:ascii="Arial" w:hAnsi="Arial" w:cs="Arial"/>
        </w:rPr>
        <w:t>Regular clinic appointments with a paediatric metabolic bone consultant.</w:t>
      </w:r>
    </w:p>
    <w:p w14:paraId="65263359" w14:textId="77777777" w:rsidR="001D26EB" w:rsidRPr="001D26EB" w:rsidRDefault="001D26EB" w:rsidP="001D26EB">
      <w:pPr>
        <w:pStyle w:val="ListParagraph"/>
        <w:spacing w:before="200" w:line="100" w:lineRule="exact"/>
        <w:ind w:left="340"/>
        <w:rPr>
          <w:rFonts w:ascii="Arial" w:hAnsi="Arial" w:cs="Arial"/>
        </w:rPr>
      </w:pPr>
    </w:p>
    <w:p w14:paraId="4546C9F4" w14:textId="26ECADF8" w:rsidR="009E0B26" w:rsidRDefault="009E0B26" w:rsidP="001D26EB">
      <w:pPr>
        <w:pStyle w:val="ListParagraph"/>
        <w:numPr>
          <w:ilvl w:val="0"/>
          <w:numId w:val="1"/>
        </w:numPr>
        <w:spacing w:before="200"/>
        <w:ind w:left="341" w:hanging="284"/>
        <w:rPr>
          <w:rFonts w:ascii="Arial" w:hAnsi="Arial" w:cs="Arial"/>
        </w:rPr>
      </w:pPr>
      <w:r w:rsidRPr="001D26EB">
        <w:rPr>
          <w:rFonts w:ascii="Arial" w:hAnsi="Arial" w:cs="Arial"/>
        </w:rPr>
        <w:t>Orthopaedic assessment /input as required which may include the use of orthotics i.e. supportive    shoe and insoles or surgical interventions.</w:t>
      </w:r>
    </w:p>
    <w:p w14:paraId="3611608B" w14:textId="77777777" w:rsidR="001D26EB" w:rsidRPr="001D26EB" w:rsidRDefault="001D26EB" w:rsidP="001D26EB">
      <w:pPr>
        <w:pStyle w:val="ListParagraph"/>
        <w:spacing w:line="100" w:lineRule="exact"/>
        <w:rPr>
          <w:rFonts w:ascii="Arial" w:hAnsi="Arial" w:cs="Arial"/>
        </w:rPr>
      </w:pPr>
    </w:p>
    <w:p w14:paraId="47BE7F5D" w14:textId="3C9F71AE" w:rsidR="009E0B26" w:rsidRPr="001D26EB" w:rsidRDefault="009E0B26" w:rsidP="001D26EB">
      <w:pPr>
        <w:pStyle w:val="ListParagraph"/>
        <w:numPr>
          <w:ilvl w:val="0"/>
          <w:numId w:val="2"/>
        </w:numPr>
        <w:spacing w:before="200"/>
        <w:ind w:left="341" w:hanging="284"/>
        <w:rPr>
          <w:rFonts w:ascii="Arial" w:hAnsi="Arial" w:cs="Arial"/>
        </w:rPr>
      </w:pPr>
      <w:r w:rsidRPr="001D26EB">
        <w:rPr>
          <w:rFonts w:ascii="Arial" w:hAnsi="Arial" w:cs="Arial"/>
        </w:rPr>
        <w:t>Regular dental checks.</w:t>
      </w:r>
    </w:p>
    <w:p w14:paraId="7228F7F0" w14:textId="77777777" w:rsidR="009E0B26" w:rsidRPr="009E0B26" w:rsidRDefault="009E0B26" w:rsidP="009E0B26">
      <w:pPr>
        <w:spacing w:before="200" w:after="200"/>
        <w:rPr>
          <w:rFonts w:ascii="Arial" w:hAnsi="Arial" w:cs="Arial"/>
        </w:rPr>
      </w:pPr>
      <w:r w:rsidRPr="009E0B26">
        <w:rPr>
          <w:rFonts w:ascii="Arial" w:hAnsi="Arial" w:cs="Arial"/>
        </w:rPr>
        <w:t>Although there is no cure at present for XLH, the best chance of a good outcome in terms of growth and mobility lies in early diagnosis and good compliance with medication.</w:t>
      </w:r>
    </w:p>
    <w:p w14:paraId="28BC9445" w14:textId="77777777" w:rsidR="009E0B26" w:rsidRPr="009E0B26" w:rsidRDefault="009E0B26" w:rsidP="009E0B26">
      <w:pPr>
        <w:spacing w:before="200" w:after="200"/>
        <w:rPr>
          <w:rFonts w:ascii="Arial" w:hAnsi="Arial" w:cs="Arial"/>
        </w:rPr>
      </w:pPr>
      <w:r w:rsidRPr="009E0B26">
        <w:rPr>
          <w:rFonts w:ascii="Arial" w:hAnsi="Arial" w:cs="Arial"/>
        </w:rPr>
        <w:t>For further information please contact:</w:t>
      </w:r>
    </w:p>
    <w:p w14:paraId="6590EC10" w14:textId="4C34B4BE" w:rsidR="009E0B26" w:rsidRPr="009E0B26" w:rsidRDefault="009E0B26" w:rsidP="009E0B26">
      <w:pPr>
        <w:spacing w:before="200" w:after="200"/>
        <w:rPr>
          <w:rFonts w:ascii="Arial" w:hAnsi="Arial" w:cs="Arial"/>
        </w:rPr>
      </w:pPr>
      <w:r w:rsidRPr="009E0B26">
        <w:rPr>
          <w:rFonts w:ascii="Arial" w:hAnsi="Arial" w:cs="Arial"/>
        </w:rPr>
        <w:t>Lynne Hatchard, Endocrine Nurse on 0151 252 5534 OR Paula O’Leary</w:t>
      </w:r>
      <w:r w:rsidR="001D26EB">
        <w:rPr>
          <w:rFonts w:ascii="Arial" w:hAnsi="Arial" w:cs="Arial"/>
        </w:rPr>
        <w:t>,</w:t>
      </w:r>
      <w:r w:rsidRPr="009E0B26">
        <w:rPr>
          <w:rFonts w:ascii="Arial" w:hAnsi="Arial" w:cs="Arial"/>
        </w:rPr>
        <w:t xml:space="preserve"> </w:t>
      </w:r>
      <w:r w:rsidR="001D26EB">
        <w:rPr>
          <w:rFonts w:ascii="Arial" w:hAnsi="Arial" w:cs="Arial"/>
        </w:rPr>
        <w:t>S</w:t>
      </w:r>
      <w:r w:rsidRPr="009E0B26">
        <w:rPr>
          <w:rFonts w:ascii="Arial" w:hAnsi="Arial" w:cs="Arial"/>
        </w:rPr>
        <w:t>ecretary on 0151 252 2281</w:t>
      </w:r>
      <w:r w:rsidR="001D26EB">
        <w:rPr>
          <w:rFonts w:ascii="Arial" w:hAnsi="Arial" w:cs="Arial"/>
        </w:rPr>
        <w:t>.</w:t>
      </w:r>
    </w:p>
    <w:p w14:paraId="3C547F6E" w14:textId="732816A5" w:rsidR="00ED7F86" w:rsidRPr="00ED7F86" w:rsidRDefault="00ED7F86" w:rsidP="009E0B26">
      <w:pPr>
        <w:spacing w:before="200" w:after="20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9E0B26">
        <w:rPr>
          <w:rFonts w:ascii="Arial" w:hAnsi="Arial" w:cs="Arial"/>
          <w:szCs w:val="20"/>
          <w:lang w:eastAsia="en-US"/>
        </w:rPr>
        <w:t xml:space="preserve"> </w:t>
      </w:r>
      <w:r w:rsidRPr="00ED7F86">
        <w:rPr>
          <w:rFonts w:ascii="Arial" w:hAnsi="Arial" w:cs="Arial"/>
          <w:szCs w:val="20"/>
          <w:lang w:eastAsia="en-US"/>
        </w:rPr>
        <w:t>This information can be made available in other languages and formats if requested.</w:t>
      </w:r>
    </w:p>
    <w:p w14:paraId="3C547F70" w14:textId="4898EDE1" w:rsidR="00ED7F86" w:rsidRPr="00ED7F86" w:rsidRDefault="009E0B26"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2053ADC8">
            <wp:simplePos x="0" y="0"/>
            <wp:positionH relativeFrom="column">
              <wp:posOffset>4450080</wp:posOffset>
            </wp:positionH>
            <wp:positionV relativeFrom="paragraph">
              <wp:posOffset>121459</wp:posOffset>
            </wp:positionV>
            <wp:extent cx="1096870" cy="90279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8979" cy="904531"/>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2" w14:textId="2DEAB5F8" w:rsidR="00ED7F86" w:rsidRPr="00ED7F86" w:rsidRDefault="001D26EB"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53E9E75">
            <wp:simplePos x="0" y="0"/>
            <wp:positionH relativeFrom="column">
              <wp:posOffset>-444500</wp:posOffset>
            </wp:positionH>
            <wp:positionV relativeFrom="paragraph">
              <wp:posOffset>45720</wp:posOffset>
            </wp:positionV>
            <wp:extent cx="7541895" cy="3330575"/>
            <wp:effectExtent l="0" t="0" r="190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1895" cy="333057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48F9E8AC"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2EFDE2BC"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75F812A5" w:rsidR="00ED7F86" w:rsidRPr="00ED7F86" w:rsidRDefault="00ED7F86" w:rsidP="009E0B26">
      <w:pPr>
        <w:spacing w:line="180" w:lineRule="exact"/>
        <w:rPr>
          <w:rFonts w:ascii="Arial" w:hAnsi="Arial" w:cs="Arial"/>
          <w:szCs w:val="20"/>
          <w:lang w:eastAsia="en-US"/>
        </w:rPr>
      </w:pPr>
    </w:p>
    <w:p w14:paraId="3C547F76" w14:textId="320F7D63"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1A30E9"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B" w14:textId="469CDC8D" w:rsidR="00ED7F86" w:rsidRPr="00ED7F86" w:rsidRDefault="00ED7F86" w:rsidP="00ED7F86">
      <w:pPr>
        <w:rPr>
          <w:rFonts w:ascii="Arial" w:hAnsi="Arial" w:cs="Arial"/>
          <w:b/>
          <w:szCs w:val="20"/>
          <w:lang w:eastAsia="en-US"/>
        </w:rPr>
      </w:pPr>
    </w:p>
    <w:p w14:paraId="3C547F7C" w14:textId="319CDDDF"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CC171C">
        <w:rPr>
          <w:rFonts w:ascii="Arial" w:hAnsi="Arial" w:cs="Arial"/>
          <w:b/>
          <w:szCs w:val="20"/>
          <w:lang w:eastAsia="en-US"/>
        </w:rPr>
        <w:t>May 2025</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9E0B26">
        <w:rPr>
          <w:rFonts w:ascii="Arial" w:hAnsi="Arial" w:cs="Arial"/>
          <w:b/>
          <w:szCs w:val="20"/>
          <w:lang w:eastAsia="en-US"/>
        </w:rPr>
        <w:t xml:space="preserve"> 017</w:t>
      </w:r>
      <w:r w:rsidRPr="00ED7F86">
        <w:rPr>
          <w:rFonts w:ascii="Arial" w:hAnsi="Arial" w:cs="Arial"/>
          <w:b/>
          <w:szCs w:val="20"/>
          <w:lang w:eastAsia="en-US"/>
        </w:rPr>
        <w:t xml:space="preserve"> </w:t>
      </w:r>
    </w:p>
    <w:p w14:paraId="190DC56F" w14:textId="0BA8A4D9"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DBF"/>
    <w:multiLevelType w:val="hybridMultilevel"/>
    <w:tmpl w:val="F04AD7D6"/>
    <w:lvl w:ilvl="0" w:tplc="6EFE76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D372F"/>
    <w:multiLevelType w:val="hybridMultilevel"/>
    <w:tmpl w:val="970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D26EB"/>
    <w:rsid w:val="00222FFF"/>
    <w:rsid w:val="00267378"/>
    <w:rsid w:val="00302A6B"/>
    <w:rsid w:val="003C0E2A"/>
    <w:rsid w:val="003C4C1D"/>
    <w:rsid w:val="00443FF2"/>
    <w:rsid w:val="004B5999"/>
    <w:rsid w:val="00500988"/>
    <w:rsid w:val="006A32CE"/>
    <w:rsid w:val="006C76CE"/>
    <w:rsid w:val="006F7DC9"/>
    <w:rsid w:val="007D415F"/>
    <w:rsid w:val="009863A7"/>
    <w:rsid w:val="009E0B26"/>
    <w:rsid w:val="009F025E"/>
    <w:rsid w:val="00A30EE4"/>
    <w:rsid w:val="00A61762"/>
    <w:rsid w:val="00AF3172"/>
    <w:rsid w:val="00AF57E1"/>
    <w:rsid w:val="00CB61ED"/>
    <w:rsid w:val="00CC171C"/>
    <w:rsid w:val="00D6461C"/>
    <w:rsid w:val="00D74459"/>
    <w:rsid w:val="00E17970"/>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BD7A89ED-16D9-4AF3-BA4A-D484D009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E0B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Laing Peter</DisplayName>
        <AccountId>423</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2024-12-02T00:00:00+00:00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2025-03-02T00:00:00+00:00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2025-05-30T23:00:00+00:00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2021-02-01T00:00:00+00:00</DateRatified>
    <LeadSpeciality xmlns="a5544097-eb68-476a-80d2-5c4688d0d6a4">165</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2021-11-09T12:27:16+00:00</DatePublished>
    <AddRtfMtgDate xmlns="a5544097-eb68-476a-80d2-5c4688d0d6a4" xsi:nil="true"/>
    <RatReqDate xmlns="a5544097-eb68-476a-80d2-5c4688d0d6a4" xsi:nil="true"/>
    <ReSubR xmlns="a5544097-eb68-476a-80d2-5c4688d0d6a4" xsi:nil="true"/>
    <SharedWithUsers xmlns="a5544097-eb68-476a-80d2-5c4688d0d6a4">
      <UserInfo>
        <DisplayName>Laing Peter</DisplayName>
        <AccountId>423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4F862AE6-00A5-4E39-9746-65EC93830B76}"/>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McCrave Sarah</cp:lastModifiedBy>
  <cp:revision>2</cp:revision>
  <dcterms:created xsi:type="dcterms:W3CDTF">2022-05-06T13:42:00Z</dcterms:created>
  <dcterms:modified xsi:type="dcterms:W3CDTF">2022-05-06T13:42:00Z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2020-02-01T00:00:00Z</vt:filetime>
  </property>
</Properties>
</file>